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</w:rPr>
        <w:t xml:space="preserve">FICHA DE AVALIAÇÃO FISIOTERAPÊUTICA – NEUROFUNCIONAL ADULTO</w:t>
      </w: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2551"/>
        <w:gridCol w:w="2551"/>
        <w:gridCol w:w="2551"/>
        <w:gridCol w:w="2551"/>
      </w:tblGrid>
      <w:tr>
        <w:trPr>
          <w:cantSplit/>
        </w:trPr>
        <w:tc>
          <w:tcPr>
            <w:tcW w:w="7653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Matéria: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Período: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Acadêmico(a):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Professor(a) responsável: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5102" w:type="dxa"/>
            <w:gridSpan w:val="2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Data de início das avaliações: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5102" w:type="dxa"/>
            <w:gridSpan w:val="2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Data da reavaliação: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2551"/>
        <w:gridCol w:w="2551"/>
        <w:gridCol w:w="2551"/>
        <w:gridCol w:w="2551"/>
      </w:tblGrid>
      <w:tr>
        <w:trPr>
          <w:cantSplit/>
          <w:tblHeader/>
        </w:trPr>
        <w:tc>
          <w:tcPr>
            <w:tcW w:w="10204" w:type="dxa"/>
            <w:gridSpan w:val="4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1. IDENTIFICAÇÃO DO PACIENTE</w:t>
            </w:r>
          </w:p>
        </w:tc>
      </w:tr>
      <w:tr>
        <w:trPr>
          <w:cantSplit/>
        </w:trPr>
        <w:tc>
          <w:tcPr>
            <w:tcW w:w="7653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Nome: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Data de nascimento: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Idade: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Sexo: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Estado civil: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Dominância: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5102" w:type="dxa"/>
            <w:gridSpan w:val="2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Escolaridade (anos de estudo):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5102" w:type="dxa"/>
            <w:gridSpan w:val="2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Profissão ou ocupação: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Endereço: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5102" w:type="dxa"/>
            <w:gridSpan w:val="2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Telefone: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5102" w:type="dxa"/>
            <w:gridSpan w:val="2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Contato de emergência: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Responsável ou cuidador (se houver):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Diagnóstico clínico (CID):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2. ANAMNESE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Queixa principal: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eastAsia="Arial" w:cs="Arial"/>
                <w:color w:val="595959"/>
                <w:sz w:val="18"/>
                <w:szCs w:val="18"/>
              </w:rPr>
              <w:t xml:space="preserve">(nas palavras do paciente)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História da moléstia atual (HMA):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História da moléstia pregressa (HMP):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História familiar (HF):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Cirurgias: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Comorbidades: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Dispositivos auxiliares e órteses: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3. HÁBITOS DE VIDA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Alimentação e hidratação: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Sono: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Atividade física: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Tabagismo, etilismo e outras dependências: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Rotina, trabalho, lazer e atividades de vida diária: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4. EXAMES COMPLEMENTARES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Data, tipo de exame e resumo do laudo: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3061"/>
        <w:gridCol w:w="2244"/>
        <w:gridCol w:w="4899"/>
      </w:tblGrid>
      <w:tr>
        <w:trPr>
          <w:cantSplit/>
          <w:tblHeader/>
        </w:trPr>
        <w:tc>
          <w:tcPr>
            <w:tcW w:w="10204" w:type="dxa"/>
            <w:gridSpan w:val="3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5. MEDICAMENTOS EM USO</w:t>
            </w:r>
          </w:p>
        </w:tc>
      </w:tr>
      <w:tr>
        <w:trPr>
          <w:cantSplit/>
          <w:tblHeader/>
        </w:trPr>
        <w:tc>
          <w:tcPr>
            <w:tcW w:w="306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Medicamento e dose</w:t>
            </w:r>
          </w:p>
        </w:tc>
        <w:tc>
          <w:tcPr>
            <w:tcW w:w="2244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Posologia</w:t>
            </w:r>
          </w:p>
        </w:tc>
        <w:tc>
          <w:tcPr>
            <w:tcW w:w="4899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Indicação para este paciente</w:t>
            </w: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2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89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2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89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2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89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2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89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2244"/>
        <w:gridCol w:w="2040"/>
        <w:gridCol w:w="1836"/>
        <w:gridCol w:w="1836"/>
        <w:gridCol w:w="2248"/>
      </w:tblGrid>
      <w:tr>
        <w:trPr>
          <w:cantSplit/>
          <w:tblHeader/>
        </w:trPr>
        <w:tc>
          <w:tcPr>
            <w:tcW w:w="10204" w:type="dxa"/>
            <w:gridSpan w:val="5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6. SINAIS VITAIS E ANTROPOMETRIA</w:t>
            </w:r>
          </w:p>
        </w:tc>
      </w:tr>
      <w:tr>
        <w:trPr>
          <w:cantSplit/>
          <w:tblHeader/>
        </w:trPr>
        <w:tc>
          <w:tcPr>
            <w:tcW w:w="2244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Momento</w:t>
            </w:r>
          </w:p>
        </w:tc>
        <w:tc>
          <w:tcPr>
            <w:tcW w:w="204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PA (mmHg)</w:t>
            </w:r>
          </w:p>
        </w:tc>
        <w:tc>
          <w:tcPr>
            <w:tcW w:w="183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FC (bpm)</w:t>
            </w:r>
          </w:p>
        </w:tc>
        <w:tc>
          <w:tcPr>
            <w:tcW w:w="183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FR (irpm)</w:t>
            </w:r>
          </w:p>
        </w:tc>
        <w:tc>
          <w:tcPr>
            <w:tcW w:w="2248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SpO2 (%)</w:t>
            </w:r>
          </w:p>
        </w:tc>
      </w:tr>
      <w:tr>
        <w:trPr>
          <w:cantSplit/>
        </w:trPr>
        <w:tc>
          <w:tcPr>
            <w:tcW w:w="10204" w:type="dxa"/>
            <w:gridSpan w:val="5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Avaliação inicial (__/__/____)</w:t>
            </w:r>
          </w:p>
        </w:tc>
      </w:tr>
      <w:tr>
        <w:trPr>
          <w:cantSplit/>
        </w:trPr>
        <w:tc>
          <w:tcPr>
            <w:tcW w:w="22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Início</w:t>
            </w:r>
          </w:p>
        </w:tc>
        <w:tc>
          <w:tcPr>
            <w:tcW w:w="204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Final</w:t>
            </w:r>
          </w:p>
        </w:tc>
        <w:tc>
          <w:tcPr>
            <w:tcW w:w="204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0204" w:type="dxa"/>
            <w:gridSpan w:val="5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Reavaliação (__/__/____)</w:t>
            </w:r>
          </w:p>
        </w:tc>
      </w:tr>
      <w:tr>
        <w:trPr>
          <w:cantSplit/>
        </w:trPr>
        <w:tc>
          <w:tcPr>
            <w:tcW w:w="22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Início</w:t>
            </w:r>
          </w:p>
        </w:tc>
        <w:tc>
          <w:tcPr>
            <w:tcW w:w="204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Final</w:t>
            </w:r>
          </w:p>
        </w:tc>
        <w:tc>
          <w:tcPr>
            <w:tcW w:w="204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Peso (kg):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3876" w:type="dxa"/>
            <w:gridSpan w:val="2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Altura (m):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4084" w:type="dxa"/>
            <w:gridSpan w:val="2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IMC (kg/m²):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7. INSPEÇÃO E PALPAÇÃO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Inspeção: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eastAsia="Arial" w:cs="Arial"/>
                <w:color w:val="595959"/>
                <w:sz w:val="18"/>
                <w:szCs w:val="18"/>
              </w:rPr>
              <w:t xml:space="preserve">(postura, trofismo, edema, cicatrizes, deformidades)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Palpação: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Marcha: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eastAsia="Arial" w:cs="Arial"/>
                <w:color w:val="595959"/>
                <w:sz w:val="18"/>
                <w:szCs w:val="18"/>
              </w:rPr>
              <w:t xml:space="preserve">(independente ou com auxílio, dispositivo, base, fases, compensações)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3469"/>
        <w:gridCol w:w="3367"/>
        <w:gridCol w:w="3368"/>
      </w:tblGrid>
      <w:tr>
        <w:trPr>
          <w:cantSplit/>
          <w:tblHeader/>
        </w:trPr>
        <w:tc>
          <w:tcPr>
            <w:tcW w:w="10204" w:type="dxa"/>
            <w:gridSpan w:val="3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8. AVALIAÇÃO DA DOR</w:t>
            </w:r>
          </w:p>
        </w:tc>
      </w:tr>
      <w:tr>
        <w:trPr>
          <w:cantSplit/>
        </w:trPr>
        <w:tc>
          <w:tcPr>
            <w:tcW w:w="10204" w:type="dxa"/>
            <w:gridSpan w:val="3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Escala Visual Analógica (EVA):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de 0 (sem dor) a 10 (pior dor imaginável) (Martinez; Grassi; Marques, 2011).</w:t>
            </w:r>
          </w:p>
        </w:tc>
      </w:tr>
      <w:tr>
        <w:trPr>
          <w:cantSplit/>
        </w:trPr>
        <w:tc>
          <w:tcPr>
            <w:tcW w:w="3469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367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Pré (__/__)</w:t>
            </w:r>
          </w:p>
        </w:tc>
        <w:tc>
          <w:tcPr>
            <w:tcW w:w="3368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Pós (__/__)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Dor em repouso (0 a 10)</w:t>
            </w:r>
          </w:p>
        </w:tc>
        <w:tc>
          <w:tcPr>
            <w:tcW w:w="33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36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Dor ao movimento (0 a 10)</w:t>
            </w:r>
          </w:p>
        </w:tc>
        <w:tc>
          <w:tcPr>
            <w:tcW w:w="33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36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Localização</w:t>
            </w:r>
          </w:p>
        </w:tc>
        <w:tc>
          <w:tcPr>
            <w:tcW w:w="33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36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Característica da dor</w:t>
            </w:r>
          </w:p>
        </w:tc>
        <w:tc>
          <w:tcPr>
            <w:tcW w:w="33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36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Fatores de melhora e de piora</w:t>
            </w:r>
          </w:p>
        </w:tc>
        <w:tc>
          <w:tcPr>
            <w:tcW w:w="33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36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/>
        <w:tc>
          <w:tcPr>
            <w:tcW w:w="10204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 pós-tratamento: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632"/>
        <w:gridCol w:w="3061"/>
        <w:gridCol w:w="1377"/>
        <w:gridCol w:w="1377"/>
        <w:gridCol w:w="1377"/>
        <w:gridCol w:w="1380"/>
      </w:tblGrid>
      <w:tr>
        <w:trPr>
          <w:cantSplit/>
          <w:tblHeader/>
        </w:trPr>
        <w:tc>
          <w:tcPr>
            <w:tcW w:w="10204" w:type="dxa"/>
            <w:gridSpan w:val="6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9. FORÇA MUSCULAR</w:t>
            </w:r>
          </w:p>
        </w:tc>
      </w:tr>
      <w:tr>
        <w:trPr>
          <w:cantSplit/>
        </w:trPr>
        <w:tc>
          <w:tcPr>
            <w:tcW w:w="10204" w:type="dxa"/>
            <w:gridSpan w:val="6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Força muscular, graus de 0 a 5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(Medical Research Council, 1976), com os testes musculares manuais de Kendall </w:t>
            </w:r>
            <w:r>
              <w:rPr>
                <w:rFonts w:ascii="Arial" w:hAnsi="Arial" w:eastAsia="Arial" w:cs="Arial"/>
                <w:i/>
                <w:iCs/>
                <w:sz w:val="18"/>
                <w:szCs w:val="18"/>
              </w:rPr>
              <w:t xml:space="preserve">et al.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(2007):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0 = ausência de contração. 1 = contração visível ou palpável, sem movimento. 2 = movimento sem a ação da gravidade. 3 = movimento contra a gravidade. 4 = movimento contra a gravidade e alguma resistência. 5 = movimento contra a gravidade e resistência máxima (força normal).</w:t>
            </w:r>
          </w:p>
        </w:tc>
      </w:tr>
      <w:tr>
        <w:trPr>
          <w:cantSplit/>
        </w:trPr>
        <w:tc>
          <w:tcPr>
            <w:tcW w:w="1632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Articulação</w:t>
            </w:r>
          </w:p>
        </w:tc>
        <w:tc>
          <w:tcPr>
            <w:tcW w:w="306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Movimento</w:t>
            </w:r>
          </w:p>
        </w:tc>
        <w:tc>
          <w:tcPr>
            <w:tcW w:w="2754" w:type="dxa"/>
            <w:gridSpan w:val="2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Pré (__/__)</w:t>
            </w:r>
          </w:p>
        </w:tc>
        <w:tc>
          <w:tcPr>
            <w:tcW w:w="2757" w:type="dxa"/>
            <w:gridSpan w:val="2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Pós (__/__)</w:t>
            </w:r>
          </w:p>
        </w:tc>
      </w:tr>
      <w:tr>
        <w:trPr>
          <w:cantSplit/>
        </w:trPr>
        <w:tc>
          <w:tcPr>
            <w:tcW w:w="1632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</w:t>
            </w:r>
          </w:p>
        </w:tc>
        <w:tc>
          <w:tcPr>
            <w:tcW w:w="1377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</w:t>
            </w:r>
          </w:p>
        </w:tc>
        <w:tc>
          <w:tcPr>
            <w:tcW w:w="1377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</w:t>
            </w:r>
          </w:p>
        </w:tc>
        <w:tc>
          <w:tcPr>
            <w:tcW w:w="138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</w:t>
            </w:r>
          </w:p>
        </w:tc>
      </w:tr>
      <w:tr>
        <w:trPr>
          <w:cantSplit/>
        </w:trPr>
        <w:tc>
          <w:tcPr>
            <w:tcW w:w="1632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Ombro</w:t>
            </w: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Extensão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Abdução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Adução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Rotação interna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Rotação externa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Cotovelo</w:t>
            </w: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Extensão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Punho e mão</w:t>
            </w: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 de punho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Extensão de punho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Preensão palmar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Tronco</w:t>
            </w: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Extensão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Quadril</w:t>
            </w: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Extensão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Abdução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Adução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Joelho</w:t>
            </w: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Extensão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Tornozelo</w:t>
            </w: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Dorsiflexão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 plantar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/>
        <w:tc>
          <w:tcPr>
            <w:tcW w:w="10204" w:type="dxa"/>
            <w:gridSpan w:val="6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Observações (compensações, dor ou desconforto durante o teste):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6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6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 pós-tratamento: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4081"/>
        <w:gridCol w:w="1530"/>
        <w:gridCol w:w="1530"/>
        <w:gridCol w:w="1530"/>
        <w:gridCol w:w="1533"/>
      </w:tblGrid>
      <w:tr>
        <w:trPr>
          <w:cantSplit/>
          <w:tblHeader/>
        </w:trPr>
        <w:tc>
          <w:tcPr>
            <w:tcW w:w="10204" w:type="dxa"/>
            <w:gridSpan w:val="5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10. TÔNUS MUSCULAR</w:t>
            </w:r>
          </w:p>
        </w:tc>
      </w:tr>
      <w:tr>
        <w:trPr>
          <w:cantSplit/>
        </w:trPr>
        <w:tc>
          <w:tcPr>
            <w:tcW w:w="10204" w:type="dxa"/>
            <w:gridSpan w:val="5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Escala de Ashworth Modificada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(Bohannon; Smith, 1987):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0 = sem aumento do tônus. 1 = leve aumento do tônus, com tensão momentânea ou resistência mínima no fim da ADM. 1+ = leve aumento do tônus, com tensão abrupta seguida de resistência mínima em menos da metade da ADM restante. 2 = aumento mais marcante do tônus na maior parte da ADM, mas a região é movida facilmente. 3 = considerável aumento do tônus; o movimento passivo é difícil. 4 = parte afetada rígida em flexão ou extensão.</w:t>
            </w:r>
          </w:p>
        </w:tc>
      </w:tr>
      <w:tr>
        <w:trPr>
          <w:cantSplit/>
        </w:trPr>
        <w:tc>
          <w:tcPr>
            <w:tcW w:w="408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Grupo muscular</w:t>
            </w:r>
          </w:p>
        </w:tc>
        <w:tc>
          <w:tcPr>
            <w:tcW w:w="3060" w:type="dxa"/>
            <w:gridSpan w:val="2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Pré (__/__)</w:t>
            </w:r>
          </w:p>
        </w:tc>
        <w:tc>
          <w:tcPr>
            <w:tcW w:w="3063" w:type="dxa"/>
            <w:gridSpan w:val="2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Pós (__/__)</w:t>
            </w:r>
          </w:p>
        </w:tc>
      </w:tr>
      <w:tr>
        <w:trPr>
          <w:cantSplit/>
        </w:trPr>
        <w:tc>
          <w:tcPr>
            <w:tcW w:w="408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</w:t>
            </w:r>
          </w:p>
        </w:tc>
        <w:tc>
          <w:tcPr>
            <w:tcW w:w="153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</w:t>
            </w:r>
          </w:p>
        </w:tc>
        <w:tc>
          <w:tcPr>
            <w:tcW w:w="153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</w:t>
            </w:r>
          </w:p>
        </w:tc>
        <w:tc>
          <w:tcPr>
            <w:tcW w:w="1533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</w:t>
            </w: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Flexores de ombro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Extensores de ombro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Flexores de cotovelo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Extensores de cotovelo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Flexores de punho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Extensores de punho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Flexores de quadril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Adutores de quadril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Flexores de joelho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Extensores de joelho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Dorsiflexores de tornozelo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Plantiflexores de tornozelo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0204" w:type="dxa"/>
            <w:gridSpan w:val="5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Clônus: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Não   ( ) Sim. Local e em que momento foi disparado: </w:t>
            </w:r>
          </w:p>
        </w:tc>
      </w:tr>
      <w:tr>
        <w:trPr/>
        <w:tc>
          <w:tcPr>
            <w:tcW w:w="10204" w:type="dxa"/>
            <w:gridSpan w:val="5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5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 pós-tratamento: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4081"/>
        <w:gridCol w:w="1530"/>
        <w:gridCol w:w="1530"/>
        <w:gridCol w:w="1530"/>
        <w:gridCol w:w="1533"/>
      </w:tblGrid>
      <w:tr>
        <w:trPr>
          <w:cantSplit/>
          <w:tblHeader/>
        </w:trPr>
        <w:tc>
          <w:tcPr>
            <w:tcW w:w="10204" w:type="dxa"/>
            <w:gridSpan w:val="5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11. REFLEXOS</w:t>
            </w:r>
          </w:p>
        </w:tc>
      </w:tr>
      <w:tr>
        <w:trPr>
          <w:cantSplit/>
        </w:trPr>
        <w:tc>
          <w:tcPr>
            <w:tcW w:w="10204" w:type="dxa"/>
            <w:gridSpan w:val="5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Legenda: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(N) normal, normorreflexia; (A) aumentado, hiperreflexia; (D) diminuído, hiporreflexia; (SR) sem reflexo, arreflexia.</w:t>
            </w:r>
          </w:p>
        </w:tc>
      </w:tr>
      <w:tr>
        <w:trPr>
          <w:cantSplit/>
        </w:trPr>
        <w:tc>
          <w:tcPr>
            <w:tcW w:w="408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Reflexo</w:t>
            </w:r>
          </w:p>
        </w:tc>
        <w:tc>
          <w:tcPr>
            <w:tcW w:w="3060" w:type="dxa"/>
            <w:gridSpan w:val="2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Pré (__/__)</w:t>
            </w:r>
          </w:p>
        </w:tc>
        <w:tc>
          <w:tcPr>
            <w:tcW w:w="3063" w:type="dxa"/>
            <w:gridSpan w:val="2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Pós (__/__)</w:t>
            </w:r>
          </w:p>
        </w:tc>
      </w:tr>
      <w:tr>
        <w:trPr>
          <w:cantSplit/>
        </w:trPr>
        <w:tc>
          <w:tcPr>
            <w:tcW w:w="408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</w:t>
            </w:r>
          </w:p>
        </w:tc>
        <w:tc>
          <w:tcPr>
            <w:tcW w:w="153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</w:t>
            </w:r>
          </w:p>
        </w:tc>
        <w:tc>
          <w:tcPr>
            <w:tcW w:w="153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</w:t>
            </w:r>
          </w:p>
        </w:tc>
        <w:tc>
          <w:tcPr>
            <w:tcW w:w="1533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</w:t>
            </w: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Bicipital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Tricipital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Estilorradial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Patelar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Aquileu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Cutâneo-plantar (flexor ou extensor)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/>
        <w:tc>
          <w:tcPr>
            <w:tcW w:w="10204" w:type="dxa"/>
            <w:gridSpan w:val="5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5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 pós-tratamento: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3469"/>
        <w:gridCol w:w="1326"/>
        <w:gridCol w:w="1326"/>
        <w:gridCol w:w="4083"/>
      </w:tblGrid>
      <w:tr>
        <w:trPr>
          <w:cantSplit/>
          <w:tblHeader/>
        </w:trPr>
        <w:tc>
          <w:tcPr>
            <w:tcW w:w="10204" w:type="dxa"/>
            <w:gridSpan w:val="4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12. SENSIBILIDADE</w:t>
            </w:r>
          </w:p>
        </w:tc>
      </w:tr>
      <w:tr>
        <w:trPr>
          <w:cantSplit/>
        </w:trPr>
        <w:tc>
          <w:tcPr>
            <w:tcW w:w="10204" w:type="dxa"/>
            <w:gridSpan w:val="4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Legenda: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normal, diminuída, ausente ou aumentada. Anote a região testada.</w:t>
            </w:r>
          </w:p>
        </w:tc>
      </w:tr>
      <w:tr>
        <w:trPr>
          <w:cantSplit/>
        </w:trPr>
        <w:tc>
          <w:tcPr>
            <w:tcW w:w="3469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Modalidade</w:t>
            </w:r>
          </w:p>
        </w:tc>
        <w:tc>
          <w:tcPr>
            <w:tcW w:w="132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</w:t>
            </w:r>
          </w:p>
        </w:tc>
        <w:tc>
          <w:tcPr>
            <w:tcW w:w="132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</w:t>
            </w:r>
          </w:p>
        </w:tc>
        <w:tc>
          <w:tcPr>
            <w:tcW w:w="4083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Região e observações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Tátil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08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Dolorosa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08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Térmica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08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Propriocepção (posição segmentar)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08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Vibratória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08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4081"/>
        <w:gridCol w:w="1530"/>
        <w:gridCol w:w="1530"/>
        <w:gridCol w:w="1530"/>
        <w:gridCol w:w="1533"/>
      </w:tblGrid>
      <w:tr>
        <w:trPr>
          <w:cantSplit/>
          <w:tblHeader/>
        </w:trPr>
        <w:tc>
          <w:tcPr>
            <w:tcW w:w="10204" w:type="dxa"/>
            <w:gridSpan w:val="5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13. COORDENAÇÃO E PROVAS DEFICITÁRIAS</w:t>
            </w:r>
          </w:p>
        </w:tc>
      </w:tr>
      <w:tr>
        <w:trPr>
          <w:cantSplit/>
        </w:trPr>
        <w:tc>
          <w:tcPr>
            <w:tcW w:w="10204" w:type="dxa"/>
            <w:gridSpan w:val="5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Legenda: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normal ou alterado. Se alterado, descreva (dismetria, decomposição, tremor, queda do membro).</w:t>
            </w:r>
          </w:p>
        </w:tc>
      </w:tr>
      <w:tr>
        <w:trPr>
          <w:cantSplit/>
        </w:trPr>
        <w:tc>
          <w:tcPr>
            <w:tcW w:w="408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Teste</w:t>
            </w:r>
          </w:p>
        </w:tc>
        <w:tc>
          <w:tcPr>
            <w:tcW w:w="3060" w:type="dxa"/>
            <w:gridSpan w:val="2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Pré (__/__)</w:t>
            </w:r>
          </w:p>
        </w:tc>
        <w:tc>
          <w:tcPr>
            <w:tcW w:w="3063" w:type="dxa"/>
            <w:gridSpan w:val="2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Pós (__/__)</w:t>
            </w:r>
          </w:p>
        </w:tc>
      </w:tr>
      <w:tr>
        <w:trPr>
          <w:cantSplit/>
        </w:trPr>
        <w:tc>
          <w:tcPr>
            <w:tcW w:w="408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</w:t>
            </w:r>
          </w:p>
        </w:tc>
        <w:tc>
          <w:tcPr>
            <w:tcW w:w="153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</w:t>
            </w:r>
          </w:p>
        </w:tc>
        <w:tc>
          <w:tcPr>
            <w:tcW w:w="153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</w:t>
            </w:r>
          </w:p>
        </w:tc>
        <w:tc>
          <w:tcPr>
            <w:tcW w:w="1533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</w:t>
            </w: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Índex-nariz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Calcanhar-joelho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Diadococinesia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Prova de Mingazzini (membros superiores)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Prova de Mingazzini (membros inferiores)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/>
        <w:tc>
          <w:tcPr>
            <w:tcW w:w="10204" w:type="dxa"/>
            <w:gridSpan w:val="5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5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 pós-tratamento: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4285"/>
        <w:gridCol w:w="1326"/>
        <w:gridCol w:w="1326"/>
        <w:gridCol w:w="3267"/>
      </w:tblGrid>
      <w:tr>
        <w:trPr>
          <w:cantSplit/>
          <w:tblHeader/>
        </w:trPr>
        <w:tc>
          <w:tcPr>
            <w:tcW w:w="10204" w:type="dxa"/>
            <w:gridSpan w:val="4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14. EQUILÍBRIO, MOBILIDADE E MARCHA</w:t>
            </w:r>
          </w:p>
        </w:tc>
      </w:tr>
      <w:tr>
        <w:trPr>
          <w:cantSplit/>
          <w:tblHeader/>
        </w:trPr>
        <w:tc>
          <w:tcPr>
            <w:tcW w:w="4285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Teste (unidade)</w:t>
            </w:r>
          </w:p>
        </w:tc>
        <w:tc>
          <w:tcPr>
            <w:tcW w:w="132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Pré (__/__)</w:t>
            </w:r>
          </w:p>
        </w:tc>
        <w:tc>
          <w:tcPr>
            <w:tcW w:w="132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Pós (__/__)</w:t>
            </w:r>
          </w:p>
        </w:tc>
        <w:tc>
          <w:tcPr>
            <w:tcW w:w="3267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Valor de referência para idade e sexo (fonte)</w:t>
            </w: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Teste de Romberg, olhos abertos (s)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Teste de Romberg, olhos fechados (s)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Apoio unipodal, direito (s)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Apoio unipodal, esquerdo (s)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Escala de Equilíbrio de Berg (0 a 56)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Timed Up and Go (s)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Teste de caminhada de 10 metros (s e m/s)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Teste de Caminhada de 6 Minutos (m e % do previsto)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Teste de sentar e levantar (protocolo: ____)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/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 pós-tratamento: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4285"/>
        <w:gridCol w:w="1326"/>
        <w:gridCol w:w="1326"/>
        <w:gridCol w:w="3267"/>
      </w:tblGrid>
      <w:tr>
        <w:trPr>
          <w:cantSplit/>
          <w:tblHeader/>
        </w:trPr>
        <w:tc>
          <w:tcPr>
            <w:tcW w:w="10204" w:type="dxa"/>
            <w:gridSpan w:val="4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15. QUESTIONÁRIOS</w:t>
            </w:r>
          </w:p>
        </w:tc>
      </w:tr>
      <w:tr>
        <w:trPr>
          <w:cantSplit/>
          <w:tblHeader/>
        </w:trPr>
        <w:tc>
          <w:tcPr>
            <w:tcW w:w="4285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Instrumento (pontuação possível)</w:t>
            </w:r>
          </w:p>
        </w:tc>
        <w:tc>
          <w:tcPr>
            <w:tcW w:w="132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Pré (__/__)</w:t>
            </w:r>
          </w:p>
        </w:tc>
        <w:tc>
          <w:tcPr>
            <w:tcW w:w="132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Pós (__/__)</w:t>
            </w:r>
          </w:p>
        </w:tc>
        <w:tc>
          <w:tcPr>
            <w:tcW w:w="3267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Interpretação e quem respondeu</w:t>
            </w: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Medida de Independência Funcional (18 a 126)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Mini-Exame do Estado Mental (0 a 30)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Escala Tampa para Cinesiofobia (17 a 68)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0204" w:type="dxa"/>
            <w:gridSpan w:val="4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SF-36 (Ciconelli </w:t>
            </w:r>
            <w:r>
              <w:rPr>
                <w:rFonts w:ascii="Arial" w:hAnsi="Arial" w:eastAsia="Arial" w:cs="Arial"/>
                <w:b/>
                <w:bCs/>
                <w:i/>
                <w:iCs/>
                <w:sz w:val="22"/>
                <w:szCs w:val="22"/>
              </w:rPr>
              <w:t xml:space="preserve">et al.</w:t>
            </w: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, 1999): domínios de 0 a 100, maior = melhor</w:t>
            </w: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Capacidade funcional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Limitação por aspectos físicos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Dor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Estado geral de saúde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Vitalidade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Aspectos sociais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Limitação por aspectos emocionais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8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Saúde mental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/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 pós-tratamento: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16. DIAGNÓSTICO FISIOTERAPÊUTICO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Avaliação inicial: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Pós-tratamento (__/__/____):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836"/>
        <w:gridCol w:w="2346"/>
        <w:gridCol w:w="3775"/>
        <w:gridCol w:w="1122"/>
        <w:gridCol w:w="1125"/>
      </w:tblGrid>
      <w:tr>
        <w:trPr>
          <w:cantSplit/>
          <w:tblHeader/>
        </w:trPr>
        <w:tc>
          <w:tcPr>
            <w:tcW w:w="10204" w:type="dxa"/>
            <w:gridSpan w:val="5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17. CIF – CLASSIFICAÇÃO INTERNACIONAL DE FUNCIONALIDADE, INCAPACIDADE E SAÚDE</w:t>
            </w:r>
          </w:p>
        </w:tc>
      </w:tr>
      <w:tr>
        <w:trPr>
          <w:cantSplit/>
        </w:trPr>
        <w:tc>
          <w:tcPr>
            <w:tcW w:w="10204" w:type="dxa"/>
            <w:gridSpan w:val="5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Qualificadores da CIF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(Organização Mundial da Saúde, 2003): 0 = nenhuma deficiência ou dificuldade (0 a 4%); 1 = leve (5 a 24%); 2 = moderada (25 a 49%); 3 = grave (50 a 95%); 4 = completa (96 a 100%); 8 = não especificada; 9 = não aplicável.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Fatores ambientais: barreira com ponto (ex.: e150.2) e facilitador com sinal de mais (ex.: e310+2). Fatores pessoais não têm código nem qualificador.</w:t>
            </w:r>
          </w:p>
        </w:tc>
      </w:tr>
      <w:tr>
        <w:trPr>
          <w:cantSplit/>
        </w:trPr>
        <w:tc>
          <w:tcPr>
            <w:tcW w:w="183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Componente</w:t>
            </w:r>
          </w:p>
        </w:tc>
        <w:tc>
          <w:tcPr>
            <w:tcW w:w="234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Código e categoria</w:t>
            </w:r>
          </w:p>
        </w:tc>
        <w:tc>
          <w:tcPr>
            <w:tcW w:w="3775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Achado da avaliação (com o número do teste)</w:t>
            </w:r>
          </w:p>
        </w:tc>
        <w:tc>
          <w:tcPr>
            <w:tcW w:w="1122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Qualif. pré</w:t>
            </w:r>
          </w:p>
        </w:tc>
        <w:tc>
          <w:tcPr>
            <w:tcW w:w="1125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Qualif. pós</w:t>
            </w:r>
          </w:p>
        </w:tc>
      </w:tr>
      <w:tr>
        <w:trPr>
          <w:cantSplit/>
        </w:trPr>
        <w:tc>
          <w:tcPr>
            <w:tcW w:w="1836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Funções do corpo (b)</w:t>
            </w: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Estruturas do corpo (s)</w:t>
            </w: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Atividades e participação (d)</w:t>
            </w: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Fatores ambientais (e)</w:t>
            </w: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/>
        <w:tc>
          <w:tcPr>
            <w:tcW w:w="10204" w:type="dxa"/>
            <w:gridSpan w:val="5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Fatores pessoais: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2448"/>
        <w:gridCol w:w="7756"/>
      </w:tblGrid>
      <w:tr>
        <w:trPr>
          <w:cantSplit/>
          <w:tblHeader/>
        </w:trPr>
        <w:tc>
          <w:tcPr>
            <w:tcW w:w="10204" w:type="dxa"/>
            <w:gridSpan w:val="2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18. OBJETIVO SMART</w:t>
            </w:r>
          </w:p>
        </w:tc>
      </w:tr>
      <w:tr>
        <w:trPr/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S – Específico</w:t>
            </w:r>
          </w:p>
        </w:tc>
        <w:tc>
          <w:tcPr>
            <w:tcW w:w="7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M – Mensurável</w:t>
            </w:r>
          </w:p>
        </w:tc>
        <w:tc>
          <w:tcPr>
            <w:tcW w:w="7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A – Alcançável</w:t>
            </w:r>
          </w:p>
        </w:tc>
        <w:tc>
          <w:tcPr>
            <w:tcW w:w="7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R – Relevante</w:t>
            </w:r>
          </w:p>
        </w:tc>
        <w:tc>
          <w:tcPr>
            <w:tcW w:w="7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T – Temporal</w:t>
            </w:r>
          </w:p>
        </w:tc>
        <w:tc>
          <w:tcPr>
            <w:tcW w:w="7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Situação na reavaliação</w:t>
            </w:r>
          </w:p>
        </w:tc>
        <w:tc>
          <w:tcPr>
            <w:tcW w:w="7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>
          <w:cantSplit/>
        </w:trPr>
        <w:tc>
          <w:tcPr>
            <w:tcW w:w="10204" w:type="dxa"/>
            <w:gridSpan w:val="2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Situação na reavaliação: atingido, parcialmente atingido ou não atingido, com os números de antes e depois.</w:t>
            </w: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3401"/>
        <w:gridCol w:w="3401"/>
        <w:gridCol w:w="3402"/>
      </w:tblGrid>
      <w:tr>
        <w:trPr>
          <w:cantSplit/>
          <w:tblHeader/>
        </w:trPr>
        <w:tc>
          <w:tcPr>
            <w:tcW w:w="10204" w:type="dxa"/>
            <w:gridSpan w:val="3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19. OBJETIVOS FISIOTERAPÊUTICOS</w:t>
            </w:r>
          </w:p>
        </w:tc>
      </w:tr>
      <w:tr>
        <w:trPr>
          <w:cantSplit/>
          <w:tblHeader/>
        </w:trPr>
        <w:tc>
          <w:tcPr>
            <w:tcW w:w="340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Curto prazo</w:t>
            </w:r>
          </w:p>
        </w:tc>
        <w:tc>
          <w:tcPr>
            <w:tcW w:w="340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Médio prazo</w:t>
            </w:r>
          </w:p>
        </w:tc>
        <w:tc>
          <w:tcPr>
            <w:tcW w:w="3402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Longo prazo</w:t>
            </w:r>
          </w:p>
        </w:tc>
      </w:tr>
      <w:tr>
        <w:trPr>
          <w:trHeight w:val="1400"/>
        </w:trPr>
        <w:tc>
          <w:tcPr>
            <w:tcW w:w="340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  <w:tc>
          <w:tcPr>
            <w:tcW w:w="340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3061"/>
        <w:gridCol w:w="3265"/>
        <w:gridCol w:w="3878"/>
      </w:tblGrid>
      <w:tr>
        <w:trPr>
          <w:cantSplit/>
          <w:tblHeader/>
        </w:trPr>
        <w:tc>
          <w:tcPr>
            <w:tcW w:w="10204" w:type="dxa"/>
            <w:gridSpan w:val="3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20. PLANO DE TRATAMENTO</w:t>
            </w: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Frequência (vezes por semana):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326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Duração da sessão (min):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Período: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306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Conduta</w:t>
            </w:r>
          </w:p>
        </w:tc>
        <w:tc>
          <w:tcPr>
            <w:tcW w:w="3265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Objetivo</w:t>
            </w:r>
          </w:p>
        </w:tc>
        <w:tc>
          <w:tcPr>
            <w:tcW w:w="3878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Parâmetros (posição, séries, repetições, tempo, carga)</w:t>
            </w: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/>
        <w:tc>
          <w:tcPr>
            <w:tcW w:w="10204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Critério de progressão: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Programa domiciliar (o que foi entregue e quando):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Reavaliação prevista (data e instrumentos):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21. FISIOPATOLOGIA DA CONDIÇÃO CLÍNICA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Fisiopatologia (com citação dos autores):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632"/>
        <w:gridCol w:w="8572"/>
      </w:tblGrid>
      <w:tr>
        <w:trPr>
          <w:cantSplit/>
          <w:tblHeader/>
        </w:trPr>
        <w:tc>
          <w:tcPr>
            <w:tcW w:w="10204" w:type="dxa"/>
            <w:gridSpan w:val="2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22. CONDUTAS E EVOLUÇÕES DOS ATENDIMENTOS</w:t>
            </w:r>
          </w:p>
        </w:tc>
      </w:tr>
      <w:tr>
        <w:trPr>
          <w:cantSplit/>
          <w:tblHeader/>
        </w:trPr>
        <w:tc>
          <w:tcPr>
            <w:tcW w:w="1632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w="8572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Evolução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23. ORIENTAÇÕES E ENCAMINHAMENTOS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Orientações ao paciente e ao cuidador e encaminhamentos: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24. REFERÊNCIAS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20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BOHANNON, R. W.; SMITH, M. B. Interrater reliability of a modified Ashworth scale of muscle spasticity.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Physical Therapy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, v. 67, n. 2, p. 206-207, 1987. DOI: https://doi.org/10.1093/ptj/67.2.206.</w:t>
            </w:r>
          </w:p>
          <w:p>
            <w:pPr>
              <w:spacing w:before="0" w:after="20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CICONELLI, R. M. </w:t>
            </w:r>
            <w:r>
              <w:rPr>
                <w:rFonts w:ascii="Arial" w:hAnsi="Arial" w:eastAsia="Arial" w:cs="Arial"/>
                <w:i/>
                <w:iCs/>
                <w:sz w:val="20"/>
                <w:szCs w:val="20"/>
              </w:rPr>
              <w:t xml:space="preserve">et al.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Tradução para a língua portuguesa e validação do questionário genérico de avaliação de qualidade de vida SF-36 (Brasil SF-36).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Revista Brasileira de Reumatologia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, v. 39, n. 3, p. 143-150, 1999.</w:t>
            </w:r>
          </w:p>
          <w:p>
            <w:pPr>
              <w:spacing w:before="0" w:after="20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KENDALL, F. P. </w:t>
            </w:r>
            <w:r>
              <w:rPr>
                <w:rFonts w:ascii="Arial" w:hAnsi="Arial" w:eastAsia="Arial" w:cs="Arial"/>
                <w:i/>
                <w:iCs/>
                <w:sz w:val="20"/>
                <w:szCs w:val="20"/>
              </w:rPr>
              <w:t xml:space="preserve">et al.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Músculos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: provas e funções com postura e dor. 5. ed. Barueri: Manole, 2007.</w:t>
            </w:r>
          </w:p>
          <w:p>
            <w:pPr>
              <w:spacing w:before="0" w:after="20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MARTINEZ, J. E.; GRASSI, D. C.; MARQUES, L. G. Análise da aplicabilidade de três instrumentos de avaliação de dor em distintas unidades de atendimento: ambulatório, enfermaria e urgência.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Revista Brasileira de Reumatologia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, v. 51, n. 4, p. 304-308, 2011. DOI: https://doi.org/10.1590/S0482-50042011000400002.</w:t>
            </w:r>
          </w:p>
          <w:p>
            <w:pPr>
              <w:spacing w:before="0" w:after="20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MEDICAL RESEARCH COUNCIL.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Aids to the examination of the peripheral nervous system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. London: Her Majesty's Stationery Office, 1976. (Memorandum, n. 45).</w:t>
            </w:r>
          </w:p>
          <w:p>
            <w:pPr>
              <w:spacing w:before="0"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ORGANIZAÇÃO MUNDIAL DA SAÚDE.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CIF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: Classificação Internacional de Funcionalidade, Incapacidade e Saúde. São Paulo: Editora da Universidade de São Paulo, 2003.</w:t>
            </w: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5102"/>
        <w:gridCol w:w="5102"/>
      </w:tblGrid>
      <w:tr>
        <w:trPr>
          <w:cantSplit/>
        </w:trPr>
        <w:tc>
          <w:tcPr>
            <w:tcW w:w="510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_______________________________________</w:t>
            </w:r>
          </w:p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Acadêmico(a)</w:t>
            </w:r>
          </w:p>
        </w:tc>
        <w:tc>
          <w:tcPr>
            <w:tcW w:w="510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_______________________________________</w:t>
            </w:r>
          </w:p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Supervisor(a)</w:t>
            </w: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sectPr>
      <w:headerReference w:type="default" r:id="rIdHeader"/>
      <w:footerReference w:type="default" r:id="rIdFooter"/>
      <w:pgSz w:w="11906" w:h="16838"/>
      <w:pgMar w:top="1361" w:right="851" w:bottom="1134" w:left="851" w:header="454" w:footer="454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rPr>
        <w:rFonts w:ascii="Arial" w:hAnsi="Arial" w:eastAsia="Arial" w:cs="Arial"/>
        <w:color w:val="7F7F7F"/>
        <w:sz w:val="16"/>
        <w:szCs w:val="16"/>
      </w:rPr>
    </w:pPr>
    <w:r>
      <w:rPr>
        <w:rFonts w:ascii="Arial" w:hAnsi="Arial" w:eastAsia="Arial" w:cs="Arial"/>
        <w:color w:val="7F7F7F"/>
        <w:sz w:val="16"/>
        <w:szCs w:val="16"/>
      </w:rPr>
      <w:t xml:space="preserve">Ficha de avaliação fisioterapêutica – Neurofuncional adulto   |   Página </w:t>
    </w:r>
    <w:r>
      <w:rPr>
        <w:rFonts w:ascii="Arial" w:hAnsi="Arial" w:eastAsia="Arial" w:cs="Arial"/>
        <w:color w:val="7F7F7F"/>
        <w:sz w:val="16"/>
        <w:szCs w:val="16"/>
      </w:rPr>
      <w:fldChar w:fldCharType="begin"/>
    </w:r>
    <w:r>
      <w:rPr>
        <w:rFonts w:ascii="Arial" w:hAnsi="Arial" w:eastAsia="Arial" w:cs="Arial"/>
        <w:color w:val="7F7F7F"/>
        <w:sz w:val="16"/>
        <w:szCs w:val="16"/>
      </w:rPr>
      <w:instrText xml:space="preserve"> PAGE </w:instrText>
    </w:r>
    <w:r>
      <w:rPr>
        <w:rFonts w:ascii="Arial" w:hAnsi="Arial" w:eastAsia="Arial" w:cs="Arial"/>
        <w:color w:val="7F7F7F"/>
        <w:sz w:val="16"/>
        <w:szCs w:val="16"/>
      </w:rPr>
      <w:fldChar w:fldCharType="separate"/>
    </w:r>
    <w:r>
      <w:rPr>
        <w:rFonts w:ascii="Arial" w:hAnsi="Arial" w:eastAsia="Arial" w:cs="Arial"/>
        <w:color w:val="7F7F7F"/>
        <w:sz w:val="16"/>
        <w:szCs w:val="16"/>
      </w:rPr>
      <w:t>1</w:t>
    </w:r>
    <w:r>
      <w:rPr>
        <w:rFonts w:ascii="Arial" w:hAnsi="Arial" w:eastAsia="Arial" w:cs="Arial"/>
        <w:color w:val="7F7F7F"/>
        <w:sz w:val="16"/>
        <w:szCs w:val="16"/>
      </w:rPr>
      <w:fldChar w:fldCharType="end"/>
    </w:r>
    <w:r>
      <w:rPr>
        <w:rFonts w:ascii="Arial" w:hAnsi="Arial" w:eastAsia="Arial" w:cs="Arial"/>
        <w:color w:val="7F7F7F"/>
        <w:sz w:val="16"/>
        <w:szCs w:val="16"/>
      </w:rPr>
      <w:t xml:space="preserve"> de </w:t>
    </w:r>
    <w:r>
      <w:rPr>
        <w:rFonts w:ascii="Arial" w:hAnsi="Arial" w:eastAsia="Arial" w:cs="Arial"/>
        <w:color w:val="7F7F7F"/>
        <w:sz w:val="16"/>
        <w:szCs w:val="16"/>
      </w:rPr>
      <w:fldChar w:fldCharType="begin"/>
    </w:r>
    <w:r>
      <w:rPr>
        <w:rFonts w:ascii="Arial" w:hAnsi="Arial" w:eastAsia="Arial" w:cs="Arial"/>
        <w:color w:val="7F7F7F"/>
        <w:sz w:val="16"/>
        <w:szCs w:val="16"/>
      </w:rPr>
      <w:instrText xml:space="preserve"> NUMPAGES </w:instrText>
    </w:r>
    <w:r>
      <w:rPr>
        <w:rFonts w:ascii="Arial" w:hAnsi="Arial" w:eastAsia="Arial" w:cs="Arial"/>
        <w:color w:val="7F7F7F"/>
        <w:sz w:val="16"/>
        <w:szCs w:val="16"/>
      </w:rPr>
      <w:fldChar w:fldCharType="separate"/>
    </w:r>
    <w:r>
      <w:rPr>
        <w:rFonts w:ascii="Arial" w:hAnsi="Arial" w:eastAsia="Arial" w:cs="Arial"/>
        <w:color w:val="7F7F7F"/>
        <w:sz w:val="16"/>
        <w:szCs w:val="16"/>
      </w:rPr>
      <w:t>1</w:t>
    </w:r>
    <w:r>
      <w:rPr>
        <w:rFonts w:ascii="Arial" w:hAnsi="Arial" w:eastAsia="Arial" w:cs="Arial"/>
        <w:color w:val="7F7F7F"/>
        <w:sz w:val="16"/>
        <w:szCs w:val="16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>
  <w:p>
    <w:pPr>
      <w:spacing w:after="0"/>
    </w:pPr>
  </w:p>
</w:hdr>
</file>

<file path=word/settings.xml><?xml version="1.0" encoding="utf-8"?>
<w:settings xmlns:w="http://schemas.openxmlformats.org/wordprocessingml/2006/main">
  <w:zoom w:percent="100"/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pt-BR" w:eastAsia="en-U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Ficha de avaliação fisioterapêutica – Neurofuncional adulto</dc:title>
  <dc:creator/>
  <cp:lastModifiedBy/>
  <cp:revision>1</cp:revision>
  <dcterms:created xsi:type="dcterms:W3CDTF">2026-11-01T14:35:46Z</dcterms:created>
  <dcterms:modified xsi:type="dcterms:W3CDTF">2026-11-01T14:35:46Z</dcterms:modified>
</cp:coreProperties>
</file>