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</w:rPr>
        <w:t xml:space="preserve">FICHA DE AVALIAÇÃO FISIOTERAPÊUTICA – UROGINECOLOGIA</w:t>
      </w: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7653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Matéria: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Período: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Acadêmico(a):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Supervisor(a) responsável: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de início das avaliações: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da reavaliação: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1. IDENTIFICAÇÃO</w:t>
            </w:r>
          </w:p>
        </w:tc>
      </w:tr>
      <w:tr>
        <w:trPr>
          <w:cantSplit/>
        </w:trPr>
        <w:tc>
          <w:tcPr>
            <w:tcW w:w="7653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Nome: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de nascimento: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Gênero: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Estado civil: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Etnia: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Escolaridade: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Profissão: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Telefone: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E-mail: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CPF: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da avaliação: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2. QUEIXA PRINCIPAL E HISTÓRIA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Queixa principal: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(nas palavras da paciente)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História da doença atual: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História pregressa: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(cirurgias abdominopélvicas, infecções urinárias, outras condições, com datas)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3. FATORES PESSOAIS E HÁBITOS DE VIDA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Exercício físico (tipo e frequência):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Tabagista: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Sim. Maços por dia: ____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Etilista: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Socialmente   ( ) Frequentemente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4. DOENÇAS ASSOCIADAS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Ginecológica   ( ) Proctológica   ( ) Diabetes   ( ) Hipertensão   ( ) Ortopédica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Oncológica   ( ) Psiquiátrica   ( ) Neurológica   ( ) Outra: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Quais e há quanto tempo: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061"/>
        <w:gridCol w:w="2244"/>
        <w:gridCol w:w="4899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5. MEDICAMENTOS</w:t>
            </w: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Não usa   ( ) Anticoncepcional   ( ) Terapia de reposição hormonal   ( ) Outros (tabela abaixo)</w:t>
            </w:r>
          </w:p>
        </w:tc>
      </w:tr>
      <w:tr>
        <w:trPr>
          <w:cantSplit/>
        </w:trPr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Medicamento e dose</w:t>
            </w:r>
          </w:p>
        </w:tc>
        <w:tc>
          <w:tcPr>
            <w:tcW w:w="224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Posologia</w:t>
            </w:r>
          </w:p>
        </w:tc>
        <w:tc>
          <w:tcPr>
            <w:tcW w:w="489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Indicação para esta paciente</w:t>
            </w: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89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89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89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6. HISTÓRIA OBSTÉTRICA E GINECOLÓGICA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Gestações (G):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Partos normais (PN):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Cesáreas (C):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Abortos (A):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Fórceps   ( ) Episiotomia   ( ) Laceração perineal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 dos filhos: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Período reprodutivo: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Sim   ( ) Não       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Menopausa: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Sim   ( ) Não. Desde: ____</w:t>
            </w: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Sintomas da menopausa: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Observações: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7. SINTOMAS SEXUAIS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Vida sexual ativa: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Sim   ( ) Não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Vaginal   ( ) Anal   ( ) Masturbação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Baixa libido   ( ) Baixa excitação ou lubrificação   ( ) Anorgasmia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Durante a relação: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Desejo de urinar   ( ) Perda urinária   ( ) Desejo de evacuar   ( ) Perda de fezes ou flatos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693"/>
        <w:gridCol w:w="2755"/>
        <w:gridCol w:w="2756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8. DOR GÊNITO-PÉLVICA E À PENETRAÇÃO</w:t>
            </w: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Dispareunia   ( ) Anodispareunia. Se sim: ( ) Superficial   ( ) Profunda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Vaginismo   ( ) Dor vulvar ou vulvodínia   ( ) Sem dor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Escala Visual Analógica (EVA):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de 0 (sem dor) a 10 (pior dor imaginável) (Martinez; Grassi; Marques, 2011). A paciente indica o número.</w:t>
            </w:r>
          </w:p>
        </w:tc>
      </w:tr>
      <w:tr>
        <w:trPr>
          <w:cantSplit/>
        </w:trPr>
        <w:tc>
          <w:tcPr>
            <w:tcW w:w="469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275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Intensidade da dor (EVA, 0 a 10)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Localização e em que momento ocorre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9. HISTÓRICO SEXUAL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Sem histórico de abuso   ( ) Histórico de abuso. Se sim: ( ) Atual   ( ) Anterior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Observações: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(registre só o necessário para o cuidado)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10. SINTOMAS URINÁRIOS</w:t>
            </w:r>
          </w:p>
        </w:tc>
      </w:tr>
      <w:tr>
        <w:trPr>
          <w:cantSplit/>
        </w:trPr>
        <w:tc>
          <w:tcPr>
            <w:tcW w:w="10204" w:type="dxa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IUE = incontinência urinária de esforço; IUU = de urgência; IUM = mista.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Incontinência urinária: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Sim. Tipo: ( ) IUE   ( ) IUU   ( ) IUM. Perda em: ( ) Jato   ( ) Gotas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Micções por dia (média):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____   Aumentou? ( ) Sim   ( ) Não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Urgência   ( ) Noctúria: ____ vezes por noite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Situações de perda: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Tosse   ( ) Espirro   ( ) Risada   ( ) Sem perceber   ( ) Outras: ____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Gravidade percebida: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Leve   ( ) Moderada   ( ) Grave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Disúria   ( ) Hesitação   ( ) Sensação de esvaziamento incompleto   ( ) Esforço para urinar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Fluxo contínuo   ( ) Fluxo intermitente   ( ) Gotejamento pós-miccional   ( ) Enurese   ( ) Hematúria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Cateterismo: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Sim: ( ) Intermitente   ( ) De demora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Outros: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11. SINTOMAS INTESTINAIS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Incontinência anal: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Sim: ( ) Flatos   ( ) Fezes líquidas   ( ) Fezes sólidas   ( ) Escape (soiling)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Tipo de fezes na Escala de Bristol (1 a 7):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____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Constipação pelos critérios de Roma IV (Anexo D):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   ( ) Anismo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Laxante: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____  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Enema: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____  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Diarreia: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Sim. Frequência: ____</w:t>
            </w:r>
          </w:p>
        </w:tc>
      </w:tr>
      <w:tr>
        <w:trPr>
          <w:cantSplit/>
        </w:trPr>
        <w:tc>
          <w:tcPr>
            <w:tcW w:w="10204" w:type="dxa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Escala de Bristol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(Martinez; Azevedo, 2012):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Tipo 1: pequenas bolinhas duras, separadas como coquinhos (difíceis de sair). Tipo 2: formato de linguiça encaroçada, com pequenas bolinhas grudadas. Tipo 3: formato de linguiça com rachaduras na superfície. Tipo 4: alongada, com formato de salsicha ou cobra, lisa e macia. Tipo 5: pedaços macios e separados, com bordas bem definidas (fáceis de sair). Tipo 6: massa pastosa e fofa, com bordas irregulares. Tipo 7: totalmente líquida, sem pedaços sólidos.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Observações: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12. SINTOMAS DE PROLAPSO DE ÓRGÃOS PÉLVICOS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Sensação de "bola" saindo pela vagina: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Quase nunca   ( ) Ao fazer esforço físico   ( ) Sempre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Peso ou dor no baixo ventre: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Manobra digital para urinar ou evacuar: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Uso de pessário: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13. HÁBITOS ALIMENTARES, DE BANHEIRO E DE HIGIENE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Consumo de irritantes vesicais: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Café e bebidas com cafeína   ( ) Adoçantes   ( ) Refrigerantes   ( ) Chá preto   ( ) Pimenta   ( ) Condimentos   ( ) Corantes   ( ) Chocolate   ( ) Frutas e sucos ácidos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Ingesta hídrica diária (mL):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____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Quantidade e frequência dos irritantes: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Urina "por precaução", antes de ter vontade: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Medo de perder urina: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Posição para urinar: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Sentada   ( ) Agachada, sem encostar no vaso   ( ) Em pé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Posição para evacuar: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____  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Usa banqueta para os pés: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Higiene da região genital depois de urinar e de evacuar: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Observações: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14. DIAGNÓSTICO MÉDICO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Diagnóstico médico e CID: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Outras condições de saúde: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15. FATORES PSICOLÓGICOS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Estilo de vida e rotina: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Como lida com o problema e que estratégias usa para diminuir o desconforto: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Atividades que evita por causa do problema: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Fisioterapia anterior para esta queixa (quando e o que foi feito):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16. FATORES AMBIENTAIS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DIU: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Sim. Qual: ____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Marcapasso ou implantes metálicos: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Sim: ____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Órteses ou próteses: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____  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Sonda: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____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Protetor diário ou absorvente: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Sim. Motivo: ____   Trocas por dia: ____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17. ATIVIDADE E PARTICIPAÇÃO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Limitação ou restrição em: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AVD   ( ) Cuidado pessoal   ( ) Tarefas domésticas   ( ) Cuidar da casa e ajudar os outros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Mobilidade: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Mudar e manter a posição do corpo   ( ) Andar e mover-se   ( ) Carregar, mover e manusear objetos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Áreas principais da vida: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Educação   ( ) Trabalho ou emprego   ( ) Atividades sociais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Observações: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401"/>
        <w:gridCol w:w="3401"/>
        <w:gridCol w:w="3402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18. SINAIS VITAIS E ANTROPOMETRIA</w:t>
            </w:r>
          </w:p>
        </w:tc>
      </w:tr>
      <w:tr>
        <w:trPr>
          <w:cantSplit/>
        </w:trPr>
        <w:tc>
          <w:tcPr>
            <w:tcW w:w="340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PA (mmHg):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40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FC (bpm):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FR (irpm):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340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Peso (kg):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40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Altura (m):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IMC (kg/m²):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19. INSPEÇÃO POSTURAL ESTÁTICA E DINÂMICA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Vista lateral: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Vista posterior: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Marcha: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Mobilidade pélvica: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20. INSPEÇÃO DO APARELHO GENITURINÁRIO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Aspecto da vulva: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Pele: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Normal   ( ) Lesão   ( ) Mancha   ( ) Nódulos   ( ) Assadura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Coloração: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Normal   ( ) Pálida   ( ) Avermelhada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Cicatriz: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Episiotomia   ( ) Laceração. Se houver: ( ) Fibrose   ( ) Aderência   ( ) Dor. Localização: ____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Secreção: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Sim. Cor: ____  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Odor: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Ausente   ( ) Fétido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Trofismo vaginal: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Trófica   ( ) Atrófica   ( ) Fissura   ( ) Ressecamento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Esfíncter anal: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Sem alteração   ( ) Fissura   ( ) Hemorroida   ( ) Plicoma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Corpo perineal: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Sem alteração   ( ) Abaulado   ( ) Não visualizado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Introito vaginal: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Normal   ( ) Estreito   ( ) Aumentado   ( ) Prolapso evidente em repouso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Cutâneo-anal   ( ) Clitoridiano   ( ) Da tosse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Contração voluntária à inspeção (controle simples dos MAP):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Ausente   ( ) Presente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Observações: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632"/>
        <w:gridCol w:w="2040"/>
        <w:gridCol w:w="3061"/>
        <w:gridCol w:w="1632"/>
        <w:gridCol w:w="1839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21. PALPAÇÃO</w:t>
            </w: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Palpação: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Unidigital   ( ) Bidigital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Sensibilidade: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Presente   ( ) Ausente   ( ) Diminuída   ( ) Aumentada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do cotonete: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Negativo   ( ) Vulvodínia localizada   ( ) Vulvodínia generalizada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Pontos dolorosos (trigger points):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 (tabela abaixo)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Relógio perineal, conforme o formulário da disciplina.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Camada superficial: 12h púbis; 1h e 11h isquiocavernoso; 2h e 10h bulbocavernoso; 3h e 9h transverso superficial do períneo; 4h e 8h pubococcígeo; 5h e 7h isquiococcígeo; 6h corpo perineal.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Camada profunda: 1h e 11h puborretal; 1h e 5h, 7h e 11h pubococcígeo; 2h e 3h, 9h e 10h iliococcígeo; 3h e 9h isquiococcígeo (requer inserção digital mais profunda).</w:t>
            </w:r>
          </w:p>
        </w:tc>
      </w:tr>
      <w:tr>
        <w:trPr>
          <w:cantSplit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Posição (hora)</w:t>
            </w:r>
          </w:p>
        </w:tc>
        <w:tc>
          <w:tcPr>
            <w:tcW w:w="204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Camada</w:t>
            </w:r>
          </w:p>
        </w:tc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Músculo</w:t>
            </w:r>
          </w:p>
        </w:tc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Dor (EVA)</w:t>
            </w:r>
          </w:p>
        </w:tc>
        <w:tc>
          <w:tcPr>
            <w:tcW w:w="183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Irradiação</w:t>
            </w: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693"/>
        <w:gridCol w:w="2755"/>
        <w:gridCol w:w="2756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22. TÔNUS DOS MÚSCULOS DO ASSOALHO PÉLVICO (MAP)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Tônus de repouso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(Dietz; Shek, 2008): 0 = músculo não palpável. 1 = palpável, mas muito flácido; hiato vaginal largo; resistência mínima à palpação. 2 = hiato largo, mas os músculos oferecem alguma resistência. 3 = hiato levemente estreito; leve resistência, mas cedem facilmente. 4 = hiato estreito; alta resistência, mas cedem à palpação, sem dor. 5 = hiato muito estreito; resistência muito alta, como palpar madeira; dor possivelmente presente (vaginismo).</w:t>
            </w:r>
          </w:p>
        </w:tc>
      </w:tr>
      <w:tr>
        <w:trPr>
          <w:cantSplit/>
        </w:trPr>
        <w:tc>
          <w:tcPr>
            <w:tcW w:w="469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275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Tônus de repouso (0 a 5)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Impressão clínica: normal, aumentado ou diminuído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Simetria (se assimétrico: lado e se aumentado ou diminuído)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693"/>
        <w:gridCol w:w="2755"/>
        <w:gridCol w:w="2756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23. FUNÇÃO DOS MÚSCULOS DO ASSOALHO PÉLVICO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Escala de Oxford modificada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(Laycock; Jerwood, 2001): 0 = ausência de resposta muscular. 1 = esboço de contração não sustentada. 2 = contração de pequena intensidade, mas que se sustenta. 3 = contração moderada, com aumento de pressão no dedo do examinador e pequena elevação da parede vaginal no sentido cranial. 4 = contração satisfatória, que comprime o dedo do examinador em direção à sínfise púbica. 5 = contração forte, com compressão firme dos dedos do examinador e movimento positivo em direção à sínfise púbica.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Esquema PERFECT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(Laycock; Jerwood, 2001): P = força da contração voluntária máxima (Oxford modificada). E = tempo de sustentação, em segundos, mantendo o grau de P. R = número de contrações mantendo P pelo tempo de E, com 4 s de intervalo. F = número de contrações rápidas mantendo P. E = elevação da parede vaginal no sentido cranial. C = contração de músculos acessórios durante a contração máxima. T = pré-contração antes do esforço (tosse).</w:t>
            </w:r>
          </w:p>
        </w:tc>
      </w:tr>
      <w:tr>
        <w:trPr>
          <w:cantSplit/>
        </w:trPr>
        <w:tc>
          <w:tcPr>
            <w:tcW w:w="469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Esquema PERFECT</w:t>
            </w:r>
          </w:p>
        </w:tc>
        <w:tc>
          <w:tcPr>
            <w:tcW w:w="275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275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P: força (Oxford modificada, 0 a 5)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E: sustentação (s)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R: repetições sustentadas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F: contrações rápidas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E: elevação da parede vaginal (sim ou não)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C: músculos acessórios (sim ou não)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T: contração antes da tosse (sim ou não)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Avaliação funcional do assoalho pélvico (AFA)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(Contreras Ortiz; Coya Nuñez; Ibañez, 1994): 0 = sem função perineal objetiva, nem à palpação. 1 = função perineal objetiva ausente, reconhecível somente à palpação. 2 = função perineal objetiva débil, reconhecível à palpação. 3 = função perineal objetiva, sem resistência opositora à palpação. 4 = função perineal objetiva e resistência opositora não mantida à palpação. 5 = função perineal objetiva e resistência opositora mantida à palpação por mais de 5 segundos.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Contração perineal à palpação digital, conforme o formulário da disciplina: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0 = ausência de contração. 1 = contração leve. 2 = contração moderada, não sustentada por mais de 5 segundos. 3 = contração normal, sustentada por mais de 5 segundos.</w:t>
            </w: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AFA (0 a 5)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Contração perineal à palpação (0 a 3)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Controle voluntário complexo.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Músculos acessórios: ( ) Não   ( ) Sim: ( ) Glúteos   ( ) Adutores   ( ) Abdominais superficiais (reto do abdome)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Apneia durante a contração: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Relaxamento dos MAP: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Completo   ( ) Incompleto ou lento</w:t>
            </w: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693"/>
        <w:gridCol w:w="2755"/>
        <w:gridCol w:w="2756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24. PROLAPSO DE ÓRGÃOS PÉLVICOS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Classificação de Baden-Walker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(Baden; Walker, 1972): grau 0 = sem prolapso. 1 = desce até a metade da distância entre o local de origem e a carúncula himenal. 2 = chega à carúncula himenal, sem ultrapassá-la. 3 = ultrapassa parcialmente a carúncula. 4 = ultrapassa a carúncula em todo o seu conteúdo.</w:t>
            </w: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Ausente   ( ) Presente (graduar abaixo)</w:t>
            </w:r>
          </w:p>
        </w:tc>
      </w:tr>
      <w:tr>
        <w:trPr>
          <w:cantSplit/>
        </w:trPr>
        <w:tc>
          <w:tcPr>
            <w:tcW w:w="469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Compartimento (grau 0 a 4)</w:t>
            </w:r>
          </w:p>
        </w:tc>
        <w:tc>
          <w:tcPr>
            <w:tcW w:w="275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275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Parede anterior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Parede posterior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69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Apical</w:t>
            </w:r>
          </w:p>
        </w:tc>
        <w:tc>
          <w:tcPr>
            <w:tcW w:w="275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6326"/>
        <w:gridCol w:w="3878"/>
      </w:tblGrid>
      <w:tr>
        <w:trPr>
          <w:cantSplit/>
          <w:tblHeader/>
        </w:trPr>
        <w:tc>
          <w:tcPr>
            <w:tcW w:w="10204" w:type="dxa"/>
            <w:gridSpan w:val="2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25. EXAMES COMPLEMENTARES</w:t>
            </w:r>
          </w:p>
        </w:tc>
      </w:tr>
      <w:tr>
        <w:trPr>
          <w:cantSplit/>
        </w:trPr>
        <w:tc>
          <w:tcPr>
            <w:tcW w:w="10204" w:type="dxa"/>
            <w:gridSpan w:val="2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Estudo urodinâmico. Entre parênteses, os valores de referência do formulário da disciplina.</w:t>
            </w:r>
          </w:p>
        </w:tc>
      </w:tr>
      <w:tr>
        <w:trPr>
          <w:cantSplit/>
        </w:trPr>
        <w:tc>
          <w:tcPr>
            <w:tcW w:w="6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Parâmetro</w:t>
            </w:r>
          </w:p>
        </w:tc>
        <w:tc>
          <w:tcPr>
            <w:tcW w:w="387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Resultado</w:t>
            </w:r>
          </w:p>
        </w:tc>
      </w:tr>
      <w:tr>
        <w:trPr>
          <w:cantSplit/>
        </w:trPr>
        <w:tc>
          <w:tcPr>
            <w:tcW w:w="6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Urofluxometria: volume urinado (150 a 500 mL)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6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Fluxo máximo, Qmáx (12 a 40 mL/s)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6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Resíduo pós-miccional (alterado se &gt; 50 mL)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6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Sensibilidade vesical (normal, aumentada, diminuída, ausente ou dolorosa)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6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Complacência vesical (30 a 55 mL/cmH2O)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6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Capacidade vesical (300 a 500 mL)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6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Perda urinária aos esforços (sim ou não)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6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Hiperatividade detrusora (&gt; 15 cmH2O)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6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Pressão do detrusor no estudo fluxo-pressão (20 a 60 cmH2O)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e laudo do estudo urodinâmico: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Outros exames (data, tipo e resumo do laudo):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285"/>
        <w:gridCol w:w="1326"/>
        <w:gridCol w:w="1326"/>
        <w:gridCol w:w="3267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26. TESTES E QUESTIONÁRIOS</w:t>
            </w:r>
          </w:p>
        </w:tc>
      </w:tr>
      <w:tr>
        <w:trPr>
          <w:cantSplit/>
        </w:trPr>
        <w:tc>
          <w:tcPr>
            <w:tcW w:w="10204" w:type="dxa"/>
            <w:gridSpan w:val="4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Pad test de 1 hora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(Krhut </w:t>
            </w:r>
            <w:r>
              <w:rPr>
                <w:rFonts w:ascii="Arial" w:hAnsi="Arial" w:eastAsia="Arial" w:cs="Arial"/>
                <w:i/>
                <w:iCs/>
                <w:sz w:val="18"/>
                <w:szCs w:val="18"/>
              </w:rPr>
              <w:t xml:space="preserve">et al.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, 2014): aumento de peso do absorvente de 1 a 10 g = incontinência leve; 11 a 50 g = moderada; mais de 50 g = grave. Até 1,4 g pode ser suor ou secreção vaginal.</w:t>
            </w:r>
          </w:p>
        </w:tc>
      </w:tr>
      <w:tr>
        <w:trPr>
          <w:cantSplit/>
        </w:trPr>
        <w:tc>
          <w:tcPr>
            <w:tcW w:w="428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ou questionário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  <w:tc>
          <w:tcPr>
            <w:tcW w:w="326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Interpretação</w:t>
            </w: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Pad test de 1 hora (g) (Anexo E)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de perda ao esforço (positivo ou negativo; posição)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ICIQ-SF (0 a 21) (Anexo A)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Diário miccional: micções por dia (média de 3 dias, Anexo B)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Diário miccional: noctúria (vezes por noite)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Diário miccional: perdas por dia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Diário miccional: ingesta hídrica (mL por dia)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Absorventes por dia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Escala de Bristol: tipo predominante (Anexo C)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Critérios de Roma IV (Anexo D)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27. DIAGNÓSTICO FISIOTERAPÊUTICO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Avaliação inicial: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(estruturas comprometidas, deficiências, limitações, restrições e necessidades de prevenção)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Pós-tratamento (__/__/____):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836"/>
        <w:gridCol w:w="2346"/>
        <w:gridCol w:w="3775"/>
        <w:gridCol w:w="1122"/>
        <w:gridCol w:w="1125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28. CIF – CLASSIFICAÇÃO INTERNACIONAL DE FUNCIONALIDADE, INCAPACIDADE E SAÚDE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Qualificadores da CIF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(Organização Mundial da Saúde, 2003): 0 = nenhuma deficiência ou dificuldade (0 a 4%); 1 = leve (5 a 24%); 2 = moderada (25 a 49%); 3 = grave (50 a 95%); 4 = completa (96 a 100%); 8 = não especificada; 9 = não aplicável.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Fatores ambientais: barreira com ponto (ex.: e150.2) e facilitador com sinal de mais (ex.: e310+2). Fatores pessoais não têm código nem qualificador.</w:t>
            </w:r>
          </w:p>
        </w:tc>
      </w:tr>
      <w:tr>
        <w:trPr>
          <w:cantSplit/>
        </w:trPr>
        <w:tc>
          <w:tcPr>
            <w:tcW w:w="183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Componente</w:t>
            </w:r>
          </w:p>
        </w:tc>
        <w:tc>
          <w:tcPr>
            <w:tcW w:w="234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Código e categoria</w:t>
            </w:r>
          </w:p>
        </w:tc>
        <w:tc>
          <w:tcPr>
            <w:tcW w:w="377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Achado da avaliação (com o número do teste)</w:t>
            </w:r>
          </w:p>
        </w:tc>
        <w:tc>
          <w:tcPr>
            <w:tcW w:w="112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Qualif. pré</w:t>
            </w:r>
          </w:p>
        </w:tc>
        <w:tc>
          <w:tcPr>
            <w:tcW w:w="112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Qualif. pós</w:t>
            </w: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Funções do corpo (b)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Estruturas do corpo (s)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Atividades e participação (d)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Fatores ambientais (e)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Fatores pessoais: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448"/>
        <w:gridCol w:w="7756"/>
      </w:tblGrid>
      <w:tr>
        <w:trPr>
          <w:cantSplit/>
          <w:tblHeader/>
        </w:trPr>
        <w:tc>
          <w:tcPr>
            <w:tcW w:w="10204" w:type="dxa"/>
            <w:gridSpan w:val="2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29. OBJETIVO SMART</w:t>
            </w: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 – Específico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M – Mensurável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 – Alcançável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 – Relevante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T – Temporal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Situação na reavaliação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>
          <w:cantSplit/>
        </w:trPr>
        <w:tc>
          <w:tcPr>
            <w:tcW w:w="10204" w:type="dxa"/>
            <w:gridSpan w:val="2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Situação na reavaliação: atingido, parcialmente atingido ou não atingido, com os números de antes e depois.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401"/>
        <w:gridCol w:w="3401"/>
        <w:gridCol w:w="3402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30. OBJETIVOS FISIOTERAPÊUTICOS</w:t>
            </w:r>
          </w:p>
        </w:tc>
      </w:tr>
      <w:tr>
        <w:trPr>
          <w:cantSplit/>
          <w:tblHeader/>
        </w:trPr>
        <w:tc>
          <w:tcPr>
            <w:tcW w:w="340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Curto prazo</w:t>
            </w:r>
          </w:p>
        </w:tc>
        <w:tc>
          <w:tcPr>
            <w:tcW w:w="340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Médio prazo</w:t>
            </w:r>
          </w:p>
        </w:tc>
        <w:tc>
          <w:tcPr>
            <w:tcW w:w="340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Longo prazo</w:t>
            </w:r>
          </w:p>
        </w:tc>
      </w:tr>
      <w:tr>
        <w:trPr>
          <w:trHeight w:val="1400"/>
        </w:trPr>
        <w:tc>
          <w:tcPr>
            <w:tcW w:w="340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tcW w:w="340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061"/>
        <w:gridCol w:w="3265"/>
        <w:gridCol w:w="3878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31. PLANO DE TRATAMENTO</w:t>
            </w: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Frequência (vezes por semana):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Duração da sessão (min):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Período: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Conduta</w:t>
            </w:r>
          </w:p>
        </w:tc>
        <w:tc>
          <w:tcPr>
            <w:tcW w:w="326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Objetivo</w:t>
            </w:r>
          </w:p>
        </w:tc>
        <w:tc>
          <w:tcPr>
            <w:tcW w:w="387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Parâmetros (posição, séries, repetições, tempo, carga)</w:t>
            </w: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Critério de progressão: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Programa domiciliar (o que foi entregue e quando):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Reavaliação prevista (data e instrumentos):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632"/>
        <w:gridCol w:w="8572"/>
      </w:tblGrid>
      <w:tr>
        <w:trPr>
          <w:cantSplit/>
          <w:tblHeader/>
        </w:trPr>
        <w:tc>
          <w:tcPr>
            <w:tcW w:w="10204" w:type="dxa"/>
            <w:gridSpan w:val="2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32. EVOLUÇÕES DOS ATENDIMENTOS</w:t>
            </w:r>
          </w:p>
        </w:tc>
      </w:tr>
      <w:tr>
        <w:trPr>
          <w:cantSplit/>
          <w:tblHeader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w="857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Evolução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33. ORIENTAÇÕES E ENCAMINHAMENTOS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Orientações à paciente (comportamentais, exercícios domiciliares) e encaminhamentos: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34. REFERÊNCIAS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BADEN, W. F.; WALKER, T. A. Genesis of the vaginal profile: a correlated classification of vaginal relaxation.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Clinical Obstetrics and Gynecology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15, n. 4, p. 1048-1054, 1972. DOI: https://doi.org/10.1097/00003081-197212000-00020.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CONTRERAS ORTIZ, O.; COYA NUÑEZ, F.; IBAÑEZ, G. Evaluación funcional del piso pelviano femenino (clasificación funcional).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Bol. Soc. Latinoam. Uroginecol. Cir. Vaginal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1, p. 5-9, 1994.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DIETZ, H. P.; SHEK, K. L. The quantification of levator muscle resting tone by digital assessment.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International Urogynecology Journal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19, n. 11, p. 1489-1493, 2008. DOI: https://doi.org/10.1007/s00192-008-0682-z.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DROSSMAN, D. A. Functional gastrointestinal disorders: history, pathophysiology, clinical features, and Rome IV.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Gastroenterology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150, n. 6, p. 1262-1279.e2, 2016. DOI: https://doi.org/10.1053/j.gastro.2016.02.032.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KRHUT, J. </w:t>
            </w:r>
            <w:r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Pad weight testing in the evaluation of urinary incontinence.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Neurourology and Urodynamics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33, n. 5, p. 507-510, 2014. DOI: https://doi.org/10.1002/nau.22436.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LAYCOCK, J.; JERWOOD, D. Pelvic floor muscle assessment: the PERFECT scheme.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Physiotherapy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87, n. 12, p. 631-642, 2001. DOI: https://doi.org/10.1016/S0031-9406(05)61108-X.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MARTINEZ, A. P.; AZEVEDO, G. R. Tradução, adaptação cultural e validação da Bristol Stool Form Scale para a população brasileira.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Revista Latino-Americana de Enfermagem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20, n. 3, p. 583-589, 2012. DOI: https://doi.org/10.1590/S0104-11692012000300021.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MARTINEZ, J. E.; GRASSI, D. C.; MARQUES, L. G. Análise da aplicabilidade de três instrumentos de avaliação de dor em distintas unidades de atendimento: ambulatório, enfermaria e urgência.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Revista Brasileira de Reumatologia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51, n. 4, p. 304-308, 2011. DOI: https://doi.org/10.1590/S0482-50042011000400002.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ORGANIZAÇÃO MUNDIAL DA SAÚDE.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CIF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: Classificação Internacional de Funcionalidade, Incapacidade e Saúde. São Paulo: Editora da Universidade de São Paulo, 2003.</w:t>
            </w:r>
          </w:p>
          <w:p>
            <w:pPr>
              <w:spacing w:before="0"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TAMANINI, J. T. N. </w:t>
            </w:r>
            <w:r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Validação para o português do "International Consultation on Incontinence Questionnaire - Short Form" (ICIQ-SF).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Revista de Saúde Pública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38, n. 3, p. 438-444, 2004. DOI: https://doi.org/10.1590/S0034-89102004000300015.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5102"/>
        <w:gridCol w:w="5102"/>
      </w:tblGrid>
      <w:tr>
        <w:trPr>
          <w:cantSplit/>
        </w:trPr>
        <w:tc>
          <w:tcPr>
            <w:tcW w:w="51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_______________________________________</w:t>
            </w: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Acadêmico(a)</w:t>
            </w:r>
          </w:p>
        </w:tc>
        <w:tc>
          <w:tcPr>
            <w:tcW w:w="51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_______________________________________</w:t>
            </w: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Supervisor(a)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p>
      <w:r>
        <w:br w:type="page"/>
      </w:r>
    </w:p>
    <w:p>
      <w:pPr>
        <w:spacing w:before="0" w:after="120" w:line="276" w:lineRule="auto"/>
        <w:jc w:val="center"/>
        <w:rPr>
          <w:rFonts w:ascii="Arial" w:hAnsi="Arial" w:eastAsia="Arial" w:cs="Arial"/>
          <w:sz w:val="26"/>
          <w:szCs w:val="26"/>
        </w:rPr>
      </w:pPr>
      <w:r>
        <w:rPr>
          <w:rFonts w:ascii="Arial" w:hAnsi="Arial" w:eastAsia="Arial" w:cs="Arial"/>
          <w:b/>
          <w:bCs/>
          <w:sz w:val="26"/>
          <w:szCs w:val="26"/>
        </w:rPr>
        <w:t xml:space="preserve">ANEXOS PARA A PACIENTE PREENCHER</w:t>
      </w:r>
    </w:p>
    <w:p>
      <w:pPr>
        <w:spacing w:before="0" w:after="120" w:line="276" w:lineRule="auto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Imprima as folhas que for usar. Os resultados vão para a tabela "Testes e questionários".</w:t>
      </w: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ANEXO A – ICIQ-SF (Tamanini </w:t>
            </w:r>
            <w:r>
              <w:rPr>
                <w:rFonts w:ascii="Arial" w:hAnsi="Arial" w:eastAsia="Arial" w:cs="Arial"/>
                <w:b/>
                <w:bCs/>
                <w:i/>
                <w:iCs/>
                <w:sz w:val="22"/>
                <w:szCs w:val="22"/>
              </w:rPr>
              <w:t xml:space="preserve">et al.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, 2004)</w:t>
            </w:r>
          </w:p>
        </w:tc>
      </w:tr>
      <w:tr>
        <w:trPr>
          <w:cantSplit/>
        </w:trPr>
        <w:tc>
          <w:tcPr>
            <w:tcW w:w="10204" w:type="dxa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O ICIQ-SF tem direito autoral do grupo ICIQ (Bristol Urological Institute) e não pode ser reproduzido neste modelo público. O uso em atendimento e em trabalho de estudante é gratuito: peça o questionário na clínica-escola ou faça o cadastro em iciq.net e use a versão em português validada por Tamanini </w:t>
            </w:r>
            <w:r>
              <w:rPr>
                <w:rFonts w:ascii="Arial" w:hAnsi="Arial" w:eastAsia="Arial" w:cs="Arial"/>
                <w:i/>
                <w:iCs/>
                <w:sz w:val="18"/>
                <w:szCs w:val="18"/>
              </w:rPr>
              <w:t xml:space="preserve">et al.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(2004), sem mudar nenhuma palavra.</w:t>
            </w:r>
          </w:p>
        </w:tc>
      </w:tr>
      <w:tr>
        <w:trPr>
          <w:cantSplit/>
        </w:trPr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Escore do ICIQ-SF (soma das questões 3 + 4 + 5, de 0 a 21):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p>
      <w:r>
        <w:br w:type="page"/>
      </w: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326"/>
        <w:gridCol w:w="1530"/>
        <w:gridCol w:w="1734"/>
        <w:gridCol w:w="1734"/>
        <w:gridCol w:w="1836"/>
        <w:gridCol w:w="2044"/>
      </w:tblGrid>
      <w:tr>
        <w:trPr>
          <w:cantSplit/>
          <w:tblHeader/>
        </w:trPr>
        <w:tc>
          <w:tcPr>
            <w:tcW w:w="10204" w:type="dxa"/>
            <w:gridSpan w:val="6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ANEXO B – DIÁRIO MICCIONAL (uma folha por dia, 3 dias seguidos)</w:t>
            </w:r>
          </w:p>
        </w:tc>
      </w:tr>
      <w:tr>
        <w:trPr>
          <w:cantSplit/>
        </w:trPr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Dia: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1   ( ) 2   ( ) 3     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Data: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__/__/____</w:t>
            </w:r>
          </w:p>
        </w:tc>
      </w:tr>
      <w:tr>
        <w:trPr>
          <w:cantSplit/>
        </w:trPr>
        <w:tc>
          <w:tcPr>
            <w:tcW w:w="10204" w:type="dxa"/>
            <w:gridSpan w:val="6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Bebidas: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quanto você bebeu e o quê. </w:t>
            </w: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Urina: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quanto urinou, em mL (qualquer recipiente medidor serve); se urinou e não mediu, marque um X; se perdeu urina, escreva PERDA. </w:t>
            </w: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Absorventes: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marque quando colocou ou trocou. Na coluna do horário, escreva CAMA quando foi deitar e ACORDEI quando acordou.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Sensação da bexiga: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0 = sem vontade, mas urinou por motivo social; 1 = vontade normal, sem urgência; 2 = urgência que passou antes de ir ao banheiro; 3 = urgência, mas chegou ao banheiro sem perder urina; 4 = urgência e não chegou a tempo (perdeu urina).</w:t>
            </w:r>
          </w:p>
        </w:tc>
      </w:tr>
      <w:tr>
        <w:trPr>
          <w:cantSplit/>
        </w:trPr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Horário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Bebida (mL)</w:t>
            </w:r>
          </w:p>
        </w:tc>
        <w:tc>
          <w:tcPr>
            <w:tcW w:w="173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Tipo de bebida</w:t>
            </w:r>
          </w:p>
        </w:tc>
        <w:tc>
          <w:tcPr>
            <w:tcW w:w="173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Urina (mL) ou PERDA</w:t>
            </w:r>
          </w:p>
        </w:tc>
        <w:tc>
          <w:tcPr>
            <w:tcW w:w="183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Sensação (0 a 4)</w:t>
            </w:r>
          </w:p>
        </w:tc>
        <w:tc>
          <w:tcPr>
            <w:tcW w:w="204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Absorvente</w:t>
            </w: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6h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7h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8h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9h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10h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11h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12h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13h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14h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15h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16h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17h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18h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19h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20h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21h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22h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23h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0h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1h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2h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3h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4h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5h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73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p>
      <w:r>
        <w:br w:type="page"/>
      </w: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632"/>
        <w:gridCol w:w="1428"/>
        <w:gridCol w:w="3061"/>
        <w:gridCol w:w="4083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ANEXO C – DIÁRIO EVACUATÓRIO</w:t>
            </w:r>
          </w:p>
        </w:tc>
      </w:tr>
      <w:tr>
        <w:trPr>
          <w:cantSplit/>
        </w:trPr>
        <w:tc>
          <w:tcPr>
            <w:tcW w:w="10204" w:type="dxa"/>
            <w:gridSpan w:val="4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Anote toda vez que evacuar: data, horário, o tipo de fezes pela Escala de Bristol (1 a 7, descrita na seção de sintomas intestinais da ficha) e a quantidade.</w:t>
            </w:r>
          </w:p>
        </w:tc>
      </w:tr>
      <w:tr>
        <w:trPr>
          <w:cantSplit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w="142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Horário</w:t>
            </w:r>
          </w:p>
        </w:tc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Tipo de fezes (Bristol, 1 a 7)</w:t>
            </w:r>
          </w:p>
        </w:tc>
        <w:tc>
          <w:tcPr>
            <w:tcW w:w="408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Quantidade: pequena, moderada ou grande</w:t>
            </w: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p>
      <w:r>
        <w:br w:type="page"/>
      </w: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ANEXO D – CRITÉRIOS DE ROMA IV PARA CONSTIPAÇÃO (Drossman, 2016)</w:t>
            </w:r>
          </w:p>
        </w:tc>
      </w:tr>
      <w:tr>
        <w:trPr>
          <w:cantSplit/>
        </w:trPr>
        <w:tc>
          <w:tcPr>
            <w:tcW w:w="10204" w:type="dxa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Os Critérios de Roma IV e os questionários baseados neles são da Rome Foundation e não podem ser reproduzidos neste modelo público. Consulte os critérios na publicação original (Drossman, 2016), no site theromefoundation.org ou com o supervisor do estágio.</w:t>
            </w:r>
          </w:p>
        </w:tc>
      </w:tr>
      <w:tr>
        <w:trPr>
          <w:cantSplit/>
        </w:trPr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Preenche os critérios de Roma IV para constipação? ( ) Não   ( ) Sim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ANEXO E – PAD TEST DE 1 HORA (Krhut </w:t>
            </w:r>
            <w:r>
              <w:rPr>
                <w:rFonts w:ascii="Arial" w:hAnsi="Arial" w:eastAsia="Arial" w:cs="Arial"/>
                <w:b/>
                <w:bCs/>
                <w:i/>
                <w:iCs/>
                <w:sz w:val="22"/>
                <w:szCs w:val="22"/>
              </w:rPr>
              <w:t xml:space="preserve">et al.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, 2014)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1. Comece sem esvaziar a bexiga. Coloque um absorvente pesado antes em balança de precisão.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2. Beba 500 mL de água em temperatura ambiente em até 15 minutos, sentada ou deitada.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3. Caminhe por 30 minutos, incluindo subir e descer um lance de escadas.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4. Nos 15 minutos seguintes: sente e levante 10 vezes; tussa forte 10 vezes; corra no lugar por 1 minuto; agache e pegue um objeto pequeno do chão 5 vezes; lave as mãos em água corrente por 1 minuto.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5. Retire e pese o absorvente. Resultado = peso final − peso inicial.</w:t>
            </w:r>
          </w:p>
        </w:tc>
      </w:tr>
      <w:tr>
        <w:trPr>
          <w:cantSplit/>
        </w:trPr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Peso inicial (g):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Peso final (g):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Diferença (g) e classificação: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sectPr>
      <w:headerReference w:type="default" r:id="rIdHeader"/>
      <w:footerReference w:type="default" r:id="rIdFooter"/>
      <w:pgSz w:w="11906" w:h="16838"/>
      <w:pgMar w:top="1361" w:right="851" w:bottom="1134" w:left="851" w:header="454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rPr>
        <w:rFonts w:ascii="Arial" w:hAnsi="Arial" w:eastAsia="Arial" w:cs="Arial"/>
        <w:color w:val="7F7F7F"/>
        <w:sz w:val="16"/>
        <w:szCs w:val="16"/>
      </w:rPr>
    </w:pPr>
    <w:r>
      <w:rPr>
        <w:rFonts w:ascii="Arial" w:hAnsi="Arial" w:eastAsia="Arial" w:cs="Arial"/>
        <w:color w:val="7F7F7F"/>
        <w:sz w:val="16"/>
        <w:szCs w:val="16"/>
      </w:rPr>
      <w:t xml:space="preserve">Ficha de avaliação fisioterapêutica – Uroginecologia   |   Página </w:t>
    </w:r>
    <w:r>
      <w:rPr>
        <w:rFonts w:ascii="Arial" w:hAnsi="Arial" w:eastAsia="Arial" w:cs="Arial"/>
        <w:color w:val="7F7F7F"/>
        <w:sz w:val="16"/>
        <w:szCs w:val="16"/>
      </w:rPr>
      <w:fldChar w:fldCharType="begin"/>
    </w:r>
    <w:r>
      <w:rPr>
        <w:rFonts w:ascii="Arial" w:hAnsi="Arial" w:eastAsia="Arial" w:cs="Arial"/>
        <w:color w:val="7F7F7F"/>
        <w:sz w:val="16"/>
        <w:szCs w:val="16"/>
      </w:rPr>
      <w:instrText xml:space="preserve"> PAGE </w:instrText>
    </w:r>
    <w:r>
      <w:rPr>
        <w:rFonts w:ascii="Arial" w:hAnsi="Arial" w:eastAsia="Arial" w:cs="Arial"/>
        <w:color w:val="7F7F7F"/>
        <w:sz w:val="16"/>
        <w:szCs w:val="16"/>
      </w:rPr>
      <w:fldChar w:fldCharType="separate"/>
    </w:r>
    <w:r>
      <w:rPr>
        <w:rFonts w:ascii="Arial" w:hAnsi="Arial" w:eastAsia="Arial" w:cs="Arial"/>
        <w:color w:val="7F7F7F"/>
        <w:sz w:val="16"/>
        <w:szCs w:val="16"/>
      </w:rPr>
      <w:t>1</w:t>
    </w:r>
    <w:r>
      <w:rPr>
        <w:rFonts w:ascii="Arial" w:hAnsi="Arial" w:eastAsia="Arial" w:cs="Arial"/>
        <w:color w:val="7F7F7F"/>
        <w:sz w:val="16"/>
        <w:szCs w:val="16"/>
      </w:rPr>
      <w:fldChar w:fldCharType="end"/>
    </w:r>
    <w:r>
      <w:rPr>
        <w:rFonts w:ascii="Arial" w:hAnsi="Arial" w:eastAsia="Arial" w:cs="Arial"/>
        <w:color w:val="7F7F7F"/>
        <w:sz w:val="16"/>
        <w:szCs w:val="16"/>
      </w:rPr>
      <w:t xml:space="preserve"> de </w:t>
    </w:r>
    <w:r>
      <w:rPr>
        <w:rFonts w:ascii="Arial" w:hAnsi="Arial" w:eastAsia="Arial" w:cs="Arial"/>
        <w:color w:val="7F7F7F"/>
        <w:sz w:val="16"/>
        <w:szCs w:val="16"/>
      </w:rPr>
      <w:fldChar w:fldCharType="begin"/>
    </w:r>
    <w:r>
      <w:rPr>
        <w:rFonts w:ascii="Arial" w:hAnsi="Arial" w:eastAsia="Arial" w:cs="Arial"/>
        <w:color w:val="7F7F7F"/>
        <w:sz w:val="16"/>
        <w:szCs w:val="16"/>
      </w:rPr>
      <w:instrText xml:space="preserve"> NUMPAGES </w:instrText>
    </w:r>
    <w:r>
      <w:rPr>
        <w:rFonts w:ascii="Arial" w:hAnsi="Arial" w:eastAsia="Arial" w:cs="Arial"/>
        <w:color w:val="7F7F7F"/>
        <w:sz w:val="16"/>
        <w:szCs w:val="16"/>
      </w:rPr>
      <w:fldChar w:fldCharType="separate"/>
    </w:r>
    <w:r>
      <w:rPr>
        <w:rFonts w:ascii="Arial" w:hAnsi="Arial" w:eastAsia="Arial" w:cs="Arial"/>
        <w:color w:val="7F7F7F"/>
        <w:sz w:val="16"/>
        <w:szCs w:val="16"/>
      </w:rPr>
      <w:t>1</w:t>
    </w:r>
    <w:r>
      <w:rPr>
        <w:rFonts w:ascii="Arial" w:hAnsi="Arial" w:eastAsia="Arial" w:cs="Arial"/>
        <w:color w:val="7F7F7F"/>
        <w:sz w:val="16"/>
        <w:szCs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spacing w:after="0"/>
    </w:pPr>
  </w:p>
</w:hdr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t-BR" w:eastAsia="en-U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Ficha de avaliação fisioterapêutica – Uroginecologia</dc:title>
  <dc:creator/>
  <cp:lastModifiedBy/>
  <cp:revision>1</cp:revision>
  <dcterms:created xsi:type="dcterms:W3CDTF">2026-11-01T14:35:47Z</dcterms:created>
  <dcterms:modified xsi:type="dcterms:W3CDTF">2026-11-01T14:35:47Z</dcterms:modified>
</cp:coreProperties>
</file>